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36" w:rsidRPr="00A64736" w:rsidRDefault="00A64736" w:rsidP="00A64736">
      <w:pPr>
        <w:ind w:right="20"/>
        <w:jc w:val="both"/>
        <w:outlineLvl w:val="1"/>
        <w:rPr>
          <w:rFonts w:ascii="Trebuchet MS" w:hAnsi="Trebuchet MS"/>
          <w:b/>
          <w:sz w:val="24"/>
        </w:rPr>
      </w:pPr>
      <w:bookmarkStart w:id="0" w:name="_Toc383029743"/>
      <w:r w:rsidRPr="00A64736">
        <w:rPr>
          <w:rFonts w:ascii="Trebuchet MS" w:hAnsi="Trebuchet MS"/>
          <w:b/>
          <w:sz w:val="24"/>
        </w:rPr>
        <w:t>Organi</w:t>
      </w:r>
      <w:bookmarkStart w:id="1" w:name="_GoBack"/>
      <w:bookmarkEnd w:id="1"/>
      <w:r w:rsidRPr="00A64736">
        <w:rPr>
          <w:rFonts w:ascii="Trebuchet MS" w:hAnsi="Trebuchet MS"/>
          <w:b/>
          <w:sz w:val="24"/>
        </w:rPr>
        <w:t xml:space="preserve">sation </w:t>
      </w:r>
      <w:r>
        <w:rPr>
          <w:rFonts w:ascii="Trebuchet MS" w:hAnsi="Trebuchet MS"/>
          <w:b/>
          <w:sz w:val="24"/>
        </w:rPr>
        <w:t>de la Qualité (</w:t>
      </w:r>
      <w:r w:rsidRPr="00A64736">
        <w:rPr>
          <w:rFonts w:ascii="Trebuchet MS" w:hAnsi="Trebuchet MS"/>
          <w:b/>
          <w:sz w:val="24"/>
        </w:rPr>
        <w:t>QSE</w:t>
      </w:r>
      <w:r>
        <w:rPr>
          <w:rFonts w:ascii="Trebuchet MS" w:hAnsi="Trebuchet MS"/>
          <w:b/>
          <w:sz w:val="24"/>
        </w:rPr>
        <w:t>)</w:t>
      </w:r>
      <w:r w:rsidRPr="00A64736">
        <w:rPr>
          <w:rFonts w:ascii="Trebuchet MS" w:hAnsi="Trebuchet MS"/>
          <w:b/>
          <w:sz w:val="24"/>
        </w:rPr>
        <w:t xml:space="preserve"> des activités sanitaires</w:t>
      </w:r>
      <w:bookmarkEnd w:id="0"/>
    </w:p>
    <w:p w:rsidR="00A64736" w:rsidRDefault="00A64736" w:rsidP="00A64736">
      <w:pPr>
        <w:pStyle w:val="Dfaut"/>
        <w:spacing w:line="276" w:lineRule="auto"/>
        <w:ind w:right="20"/>
        <w:jc w:val="center"/>
        <w:rPr>
          <w:rFonts w:ascii="Trebuchet MS" w:hAnsi="Trebuchet MS"/>
          <w:b/>
          <w:color w:val="auto"/>
          <w:szCs w:val="24"/>
        </w:rPr>
        <w:sectPr w:rsidR="00A64736">
          <w:headerReference w:type="default" r:id="rId8"/>
          <w:footerReference w:type="default" r:id="rId9"/>
          <w:pgSz w:w="11906" w:h="16838"/>
          <w:pgMar w:top="1417" w:right="1417" w:bottom="1417" w:left="1417" w:header="708" w:footer="708" w:gutter="0"/>
          <w:cols w:space="708"/>
          <w:docGrid w:linePitch="360"/>
        </w:sectPr>
      </w:pPr>
      <w:r>
        <w:rPr>
          <w:rFonts w:ascii="Trebuchet MS" w:hAnsi="Trebuchet MS"/>
          <w:b/>
          <w:color w:val="auto"/>
          <w:szCs w:val="24"/>
        </w:rPr>
        <mc:AlternateContent>
          <mc:Choice Requires="wpc">
            <w:drawing>
              <wp:inline distT="0" distB="0" distL="0" distR="0" wp14:anchorId="02210412" wp14:editId="47A5DB97">
                <wp:extent cx="6176644" cy="7820025"/>
                <wp:effectExtent l="0" t="0" r="0" b="0"/>
                <wp:docPr id="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à coins arrondis 3"/>
                        <wps:cNvSpPr/>
                        <wps:spPr>
                          <a:xfrm>
                            <a:off x="914399" y="247650"/>
                            <a:ext cx="1722975" cy="897827"/>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A64736" w:rsidRPr="00260CCF" w:rsidRDefault="00A64736" w:rsidP="00A64736">
                              <w:pPr>
                                <w:jc w:val="center"/>
                                <w:rPr>
                                  <w:rFonts w:ascii="Trebuchet MS" w:hAnsi="Trebuchet MS"/>
                                  <w:sz w:val="24"/>
                                  <w:szCs w:val="24"/>
                                </w:rPr>
                              </w:pPr>
                              <w:r w:rsidRPr="00260CCF">
                                <w:rPr>
                                  <w:rFonts w:ascii="Trebuchet MS" w:hAnsi="Trebuchet MS"/>
                                  <w:sz w:val="24"/>
                                  <w:szCs w:val="24"/>
                                </w:rPr>
                                <w:t>Le directeur de l’association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à coins arrondis 28"/>
                        <wps:cNvSpPr/>
                        <wps:spPr>
                          <a:xfrm>
                            <a:off x="1028593" y="1512525"/>
                            <a:ext cx="4457699" cy="20022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rsidR="00A64736" w:rsidRPr="00260CCF" w:rsidRDefault="00A64736" w:rsidP="00A64736">
                              <w:pPr>
                                <w:autoSpaceDE w:val="0"/>
                                <w:autoSpaceDN w:val="0"/>
                                <w:adjustRightInd w:val="0"/>
                                <w:spacing w:after="0" w:line="240" w:lineRule="auto"/>
                                <w:jc w:val="center"/>
                                <w:rPr>
                                  <w:rFonts w:ascii="TrebuchetMS" w:hAnsi="TrebuchetMS" w:cs="TrebuchetMS"/>
                                  <w:b/>
                                  <w:i/>
                                  <w:sz w:val="24"/>
                                  <w:szCs w:val="24"/>
                                </w:rPr>
                              </w:pPr>
                              <w:r w:rsidRPr="00260CCF">
                                <w:rPr>
                                  <w:rFonts w:ascii="TrebuchetMS" w:hAnsi="TrebuchetMS" w:cs="TrebuchetMS"/>
                                  <w:b/>
                                  <w:i/>
                                  <w:sz w:val="24"/>
                                  <w:szCs w:val="24"/>
                                </w:rPr>
                                <w:t>C</w:t>
                              </w:r>
                              <w:r>
                                <w:rPr>
                                  <w:rFonts w:ascii="TrebuchetMS" w:hAnsi="TrebuchetMS" w:cs="TrebuchetMS"/>
                                  <w:b/>
                                  <w:i/>
                                  <w:sz w:val="24"/>
                                  <w:szCs w:val="24"/>
                                </w:rPr>
                                <w:t xml:space="preserve">onférence </w:t>
                              </w:r>
                              <w:r w:rsidRPr="00260CCF">
                                <w:rPr>
                                  <w:rFonts w:ascii="TrebuchetMS" w:hAnsi="TrebuchetMS" w:cs="TrebuchetMS"/>
                                  <w:b/>
                                  <w:i/>
                                  <w:sz w:val="24"/>
                                  <w:szCs w:val="24"/>
                                </w:rPr>
                                <w:t>M</w:t>
                              </w:r>
                              <w:r>
                                <w:rPr>
                                  <w:rFonts w:ascii="TrebuchetMS" w:hAnsi="TrebuchetMS" w:cs="TrebuchetMS"/>
                                  <w:b/>
                                  <w:i/>
                                  <w:sz w:val="24"/>
                                  <w:szCs w:val="24"/>
                                </w:rPr>
                                <w:t>édicale d’</w:t>
                              </w:r>
                              <w:r w:rsidRPr="00260CCF">
                                <w:rPr>
                                  <w:rFonts w:ascii="TrebuchetMS" w:hAnsi="TrebuchetMS" w:cs="TrebuchetMS"/>
                                  <w:b/>
                                  <w:i/>
                                  <w:sz w:val="24"/>
                                  <w:szCs w:val="24"/>
                                </w:rPr>
                                <w:t>E</w:t>
                              </w:r>
                              <w:r>
                                <w:rPr>
                                  <w:rFonts w:ascii="TrebuchetMS" w:hAnsi="TrebuchetMS" w:cs="TrebuchetMS"/>
                                  <w:b/>
                                  <w:i/>
                                  <w:sz w:val="24"/>
                                  <w:szCs w:val="24"/>
                                </w:rPr>
                                <w:t>tablissement : pilotage QGDR</w:t>
                              </w:r>
                            </w:p>
                            <w:p w:rsidR="00A64736" w:rsidRDefault="00A64736" w:rsidP="00A64736">
                              <w:pPr>
                                <w:autoSpaceDE w:val="0"/>
                                <w:autoSpaceDN w:val="0"/>
                                <w:adjustRightInd w:val="0"/>
                                <w:spacing w:after="0" w:line="240" w:lineRule="auto"/>
                                <w:jc w:val="both"/>
                                <w:rPr>
                                  <w:rFonts w:ascii="TrebuchetMS" w:hAnsi="TrebuchetMS" w:cs="TrebuchetMS"/>
                                  <w:sz w:val="24"/>
                                  <w:szCs w:val="24"/>
                                </w:rPr>
                              </w:pPr>
                              <w:r>
                                <w:rPr>
                                  <w:rFonts w:ascii="TrebuchetMS" w:hAnsi="TrebuchetMS" w:cs="TrebuchetMS"/>
                                  <w:sz w:val="24"/>
                                  <w:szCs w:val="24"/>
                                </w:rPr>
                                <w:t xml:space="preserve">Le Président de la conférence médicale d’établissement, est chargé, conjointement avec le directeur de l’établissement de santé, de la politique médicale de l’établissement, de la politique d’amélioration continue de la qualité et de la sécurité des soins ainsi que des conditions d’accueil et de prise en charge des usagers. Il propose un programme d’actions. (Fiche mission du Président de la CME 2012) </w:t>
                              </w:r>
                            </w:p>
                            <w:p w:rsidR="00A64736" w:rsidRDefault="00A64736" w:rsidP="00A64736">
                              <w:pPr>
                                <w:autoSpaceDE w:val="0"/>
                                <w:autoSpaceDN w:val="0"/>
                                <w:adjustRightInd w:val="0"/>
                                <w:spacing w:after="0" w:line="240" w:lineRule="auto"/>
                                <w:jc w:val="both"/>
                                <w:rPr>
                                  <w:rFonts w:ascii="TrebuchetMS" w:hAnsi="TrebuchetMS" w:cs="TrebuchetMS"/>
                                  <w:sz w:val="24"/>
                                  <w:szCs w:val="24"/>
                                </w:rPr>
                              </w:pPr>
                            </w:p>
                            <w:p w:rsidR="00A64736" w:rsidRDefault="00A64736" w:rsidP="00A64736">
                              <w:pPr>
                                <w:autoSpaceDE w:val="0"/>
                                <w:autoSpaceDN w:val="0"/>
                                <w:adjustRightInd w:val="0"/>
                                <w:spacing w:after="0" w:line="240" w:lineRule="auto"/>
                                <w:jc w:val="both"/>
                                <w:rPr>
                                  <w:rFonts w:ascii="TrebuchetMS" w:hAnsi="TrebuchetMS" w:cs="TrebuchetMS"/>
                                  <w:sz w:val="24"/>
                                  <w:szCs w:val="24"/>
                                </w:rPr>
                              </w:pPr>
                            </w:p>
                            <w:p w:rsidR="00A64736" w:rsidRDefault="00A64736" w:rsidP="00A64736">
                              <w:pPr>
                                <w:autoSpaceDE w:val="0"/>
                                <w:autoSpaceDN w:val="0"/>
                                <w:adjustRightInd w:val="0"/>
                                <w:spacing w:after="0" w:line="240" w:lineRule="auto"/>
                                <w:jc w:val="both"/>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à coins arrondis 29"/>
                        <wps:cNvSpPr/>
                        <wps:spPr>
                          <a:xfrm>
                            <a:off x="1257041" y="4023995"/>
                            <a:ext cx="4114800" cy="168084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rsidR="00A64736" w:rsidRDefault="00A64736" w:rsidP="00A64736">
                              <w:pPr>
                                <w:pStyle w:val="NormalWeb"/>
                                <w:spacing w:before="0" w:beforeAutospacing="0" w:after="200" w:afterAutospacing="0"/>
                                <w:jc w:val="center"/>
                                <w:rPr>
                                  <w:rFonts w:ascii="Trebuchet MS" w:eastAsia="Times New Roman" w:hAnsi="Trebuchet MS"/>
                                </w:rPr>
                              </w:pPr>
                              <w:r w:rsidRPr="001553E5">
                                <w:rPr>
                                  <w:rFonts w:ascii="Trebuchet MS" w:eastAsia="Times New Roman" w:hAnsi="Trebuchet MS"/>
                                  <w:b/>
                                  <w:i/>
                                </w:rPr>
                                <w:t>Sous-commission CME chargée de la qualité et de la gestion des risques</w:t>
                              </w:r>
                              <w:r>
                                <w:rPr>
                                  <w:rFonts w:ascii="Trebuchet MS" w:eastAsia="Times New Roman" w:hAnsi="Trebuchet MS"/>
                                  <w:b/>
                                  <w:i/>
                                </w:rPr>
                                <w:t xml:space="preserve"> (CQGDR)</w:t>
                              </w:r>
                              <w:r w:rsidRPr="001553E5">
                                <w:rPr>
                                  <w:rFonts w:ascii="Trebuchet MS" w:eastAsia="Times New Roman" w:hAnsi="Trebuchet MS"/>
                                  <w:b/>
                                  <w:i/>
                                </w:rPr>
                                <w:t>, Animateur QSE associatif</w:t>
                              </w:r>
                              <w:r>
                                <w:rPr>
                                  <w:rFonts w:ascii="Trebuchet MS" w:eastAsia="Times New Roman" w:hAnsi="Trebuchet MS"/>
                                </w:rPr>
                                <w:t> :</w:t>
                              </w:r>
                            </w:p>
                            <w:p w:rsidR="00A64736" w:rsidRDefault="00A64736" w:rsidP="00A64736">
                              <w:pPr>
                                <w:pStyle w:val="NormalWeb"/>
                                <w:spacing w:before="0" w:beforeAutospacing="0" w:after="200" w:afterAutospacing="0"/>
                                <w:jc w:val="both"/>
                                <w:rPr>
                                  <w:rFonts w:ascii="Trebuchet MS" w:eastAsia="Times New Roman" w:hAnsi="Trebuchet MS"/>
                                </w:rPr>
                              </w:pPr>
                              <w:r w:rsidRPr="00260CCF">
                                <w:rPr>
                                  <w:rFonts w:ascii="Trebuchet MS" w:eastAsia="Times New Roman" w:hAnsi="Trebuchet MS"/>
                                  <w:color w:val="0070C0"/>
                                </w:rPr>
                                <w:t>Coordination</w:t>
                              </w:r>
                              <w:r>
                                <w:rPr>
                                  <w:rFonts w:ascii="Trebuchet MS" w:eastAsia="Times New Roman" w:hAnsi="Trebuchet MS"/>
                                </w:rPr>
                                <w:t xml:space="preserve"> de la démarche QGDR, </w:t>
                              </w:r>
                              <w:r w:rsidRPr="00260CCF">
                                <w:rPr>
                                  <w:rFonts w:ascii="Trebuchet MS" w:eastAsia="Times New Roman" w:hAnsi="Trebuchet MS"/>
                                  <w:color w:val="0070C0"/>
                                </w:rPr>
                                <w:t>réflexion</w:t>
                              </w:r>
                              <w:r>
                                <w:rPr>
                                  <w:rFonts w:ascii="Trebuchet MS" w:eastAsia="Times New Roman" w:hAnsi="Trebuchet MS"/>
                                </w:rPr>
                                <w:t xml:space="preserve"> globale, </w:t>
                              </w:r>
                              <w:r w:rsidRPr="00260CCF">
                                <w:rPr>
                                  <w:rFonts w:ascii="Trebuchet MS" w:eastAsia="Times New Roman" w:hAnsi="Trebuchet MS"/>
                                  <w:color w:val="0070C0"/>
                                </w:rPr>
                                <w:t>élaboration</w:t>
                              </w:r>
                              <w:r>
                                <w:rPr>
                                  <w:rFonts w:ascii="Trebuchet MS" w:eastAsia="Times New Roman" w:hAnsi="Trebuchet MS"/>
                                </w:rPr>
                                <w:t xml:space="preserve"> de protocoles, </w:t>
                              </w:r>
                              <w:r>
                                <w:rPr>
                                  <w:rFonts w:ascii="Trebuchet MS" w:eastAsia="Times New Roman" w:hAnsi="Trebuchet MS"/>
                                  <w:color w:val="0070C0"/>
                                </w:rPr>
                                <w:t>cohérence</w:t>
                              </w:r>
                              <w:r>
                                <w:rPr>
                                  <w:rFonts w:ascii="Trebuchet MS" w:eastAsia="Times New Roman" w:hAnsi="Trebuchet MS"/>
                                </w:rPr>
                                <w:t xml:space="preserve"> des actions, </w:t>
                              </w:r>
                              <w:r w:rsidRPr="00260CCF">
                                <w:rPr>
                                  <w:rFonts w:ascii="Trebuchet MS" w:eastAsia="Times New Roman" w:hAnsi="Trebuchet MS"/>
                                  <w:color w:val="0070C0"/>
                                </w:rPr>
                                <w:t>définition des actions d’amélioration</w:t>
                              </w:r>
                              <w:r>
                                <w:rPr>
                                  <w:rFonts w:ascii="Trebuchet MS" w:eastAsia="Times New Roman" w:hAnsi="Trebuchet MS"/>
                                </w:rPr>
                                <w:t xml:space="preserve">, </w:t>
                              </w:r>
                              <w:r w:rsidRPr="00260CCF">
                                <w:rPr>
                                  <w:rFonts w:ascii="Trebuchet MS" w:eastAsia="Times New Roman" w:hAnsi="Trebuchet MS"/>
                                  <w:color w:val="0070C0"/>
                                </w:rPr>
                                <w:t>analyse</w:t>
                              </w:r>
                              <w:r>
                                <w:rPr>
                                  <w:rFonts w:ascii="Trebuchet MS" w:eastAsia="Times New Roman" w:hAnsi="Trebuchet MS"/>
                                </w:rPr>
                                <w:t xml:space="preserve"> des risques a posteriori, </w:t>
                              </w:r>
                            </w:p>
                            <w:p w:rsidR="00A64736" w:rsidRPr="005E508A" w:rsidRDefault="00A64736" w:rsidP="00A64736">
                              <w:pPr>
                                <w:pStyle w:val="NormalWeb"/>
                                <w:spacing w:before="0" w:beforeAutospacing="0" w:after="200" w:afterAutospacing="0" w:line="276" w:lineRule="auto"/>
                                <w:jc w:val="both"/>
                                <w:rPr>
                                  <w:rFonts w:ascii="Trebuchet MS" w:hAnsi="Trebuchet M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à coins arrondis 30"/>
                        <wps:cNvSpPr/>
                        <wps:spPr>
                          <a:xfrm>
                            <a:off x="2384714" y="5671819"/>
                            <a:ext cx="3606266" cy="986156"/>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A64736" w:rsidRPr="001553E5" w:rsidRDefault="00A64736" w:rsidP="00A64736">
                              <w:pPr>
                                <w:jc w:val="center"/>
                                <w:rPr>
                                  <w:rFonts w:ascii="Trebuchet MS" w:eastAsia="Times New Roman" w:hAnsi="Trebuchet MS"/>
                                </w:rPr>
                              </w:pPr>
                              <w:r w:rsidRPr="001553E5">
                                <w:rPr>
                                  <w:rFonts w:ascii="Trebuchet MS" w:eastAsia="Times New Roman" w:hAnsi="Trebuchet MS"/>
                                  <w:b/>
                                  <w:i/>
                                </w:rPr>
                                <w:t>Groupes de travail thématique</w:t>
                              </w:r>
                              <w:r w:rsidRPr="001553E5">
                                <w:rPr>
                                  <w:rFonts w:ascii="Trebuchet MS" w:eastAsia="Times New Roman" w:hAnsi="Trebuchet MS"/>
                                </w:rPr>
                                <w:t> </w:t>
                              </w:r>
                              <w:r w:rsidRPr="00397548">
                                <w:rPr>
                                  <w:rFonts w:ascii="Trebuchet MS" w:eastAsia="Times New Roman" w:hAnsi="Trebuchet MS"/>
                                  <w:color w:val="00B050"/>
                                </w:rPr>
                                <w:t xml:space="preserve">associatif </w:t>
                              </w:r>
                              <w:r>
                                <w:rPr>
                                  <w:rFonts w:ascii="Trebuchet MS" w:eastAsia="Times New Roman" w:hAnsi="Trebuchet MS"/>
                                </w:rPr>
                                <w:t xml:space="preserve">ou </w:t>
                              </w:r>
                              <w:r w:rsidRPr="00397548">
                                <w:rPr>
                                  <w:rFonts w:ascii="Trebuchet MS" w:eastAsia="Times New Roman" w:hAnsi="Trebuchet MS"/>
                                  <w:color w:val="7030A0"/>
                                </w:rPr>
                                <w:t xml:space="preserve">spécifique au secteur d’activité </w:t>
                              </w:r>
                              <w:r>
                                <w:rPr>
                                  <w:rFonts w:ascii="Trebuchet MS" w:eastAsia="Times New Roman" w:hAnsi="Trebuchet MS"/>
                                </w:rPr>
                                <w:t>(</w:t>
                              </w:r>
                              <w:r w:rsidRPr="001553E5">
                                <w:rPr>
                                  <w:rFonts w:ascii="Trebuchet MS" w:eastAsia="Times New Roman" w:hAnsi="Trebuchet MS"/>
                                </w:rPr>
                                <w:t>bientraitance, évaluation des risques a priori, EPP</w:t>
                              </w:r>
                              <w:r>
                                <w:rPr>
                                  <w:rFonts w:ascii="Trebuchet MS" w:eastAsia="Times New Roman" w:hAnsi="Trebuchet MS"/>
                                </w:rPr>
                                <w:t>) :</w:t>
                              </w:r>
                              <w:r w:rsidRPr="001553E5">
                                <w:rPr>
                                  <w:rFonts w:ascii="Trebuchet MS" w:eastAsia="Times New Roman" w:hAnsi="Trebuchet MS"/>
                                </w:rPr>
                                <w:t xml:space="preserve"> Réflexion, recherche documentaire, élaboration de protocoles</w:t>
                              </w:r>
                              <w:r>
                                <w:rPr>
                                  <w:rFonts w:ascii="Trebuchet MS" w:eastAsia="Times New Roman" w:hAnsi="Trebuchet M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à coins arrondis 6"/>
                        <wps:cNvSpPr/>
                        <wps:spPr>
                          <a:xfrm>
                            <a:off x="3876673" y="247650"/>
                            <a:ext cx="1724025" cy="897827"/>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A64736" w:rsidRPr="00260CCF" w:rsidRDefault="00A64736" w:rsidP="00A64736">
                              <w:pPr>
                                <w:jc w:val="center"/>
                                <w:rPr>
                                  <w:rFonts w:ascii="Trebuchet MS" w:hAnsi="Trebuchet MS"/>
                                  <w:sz w:val="24"/>
                                  <w:szCs w:val="24"/>
                                </w:rPr>
                              </w:pPr>
                              <w:r w:rsidRPr="00260CCF">
                                <w:rPr>
                                  <w:rFonts w:ascii="Trebuchet MS" w:hAnsi="Trebuchet MS"/>
                                  <w:sz w:val="24"/>
                                  <w:szCs w:val="24"/>
                                </w:rPr>
                                <w:t>Le président de la CME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à coins arrondis 37"/>
                        <wps:cNvSpPr/>
                        <wps:spPr>
                          <a:xfrm>
                            <a:off x="1135701" y="6871970"/>
                            <a:ext cx="4113750" cy="80010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A64736" w:rsidRPr="001553E5" w:rsidRDefault="00A64736" w:rsidP="00A64736">
                              <w:pPr>
                                <w:pStyle w:val="NormalWeb"/>
                                <w:spacing w:before="0" w:beforeAutospacing="0" w:after="200" w:afterAutospacing="0" w:line="276" w:lineRule="auto"/>
                                <w:jc w:val="center"/>
                                <w:rPr>
                                  <w:rFonts w:ascii="Trebuchet MS" w:hAnsi="Trebuchet MS"/>
                                </w:rPr>
                              </w:pPr>
                              <w:r w:rsidRPr="00260CCF">
                                <w:rPr>
                                  <w:rFonts w:ascii="Trebuchet MS" w:eastAsia="Times New Roman" w:hAnsi="Trebuchet MS"/>
                                  <w:b/>
                                  <w:i/>
                                  <w:sz w:val="22"/>
                                  <w:szCs w:val="22"/>
                                </w:rPr>
                                <w:t>Réunions institutionnelles, équipes</w:t>
                              </w:r>
                              <w:r w:rsidRPr="001553E5">
                                <w:rPr>
                                  <w:rFonts w:ascii="Trebuchet MS" w:eastAsia="Times New Roman" w:hAnsi="Trebuchet MS"/>
                                  <w:sz w:val="22"/>
                                  <w:szCs w:val="22"/>
                                </w:rPr>
                                <w:t> : diffusion protocoles, évaluation a posteriori</w:t>
                              </w:r>
                              <w:r>
                                <w:rPr>
                                  <w:rFonts w:ascii="Trebuchet MS" w:eastAsia="Times New Roman" w:hAnsi="Trebuchet MS"/>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Connecteur droit 22"/>
                        <wps:cNvCnPr>
                          <a:stCxn id="3" idx="2"/>
                          <a:endCxn id="28" idx="0"/>
                        </wps:cNvCnPr>
                        <wps:spPr>
                          <a:xfrm>
                            <a:off x="1775887" y="1145477"/>
                            <a:ext cx="1481327" cy="367048"/>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5" name="Connecteur droit 25"/>
                        <wps:cNvCnPr>
                          <a:stCxn id="6" idx="2"/>
                          <a:endCxn id="28" idx="0"/>
                        </wps:cNvCnPr>
                        <wps:spPr>
                          <a:xfrm flipH="1">
                            <a:off x="3257214" y="1145477"/>
                            <a:ext cx="1481472" cy="367048"/>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8" name="Connecteur droit avec flèche 38"/>
                        <wps:cNvCnPr>
                          <a:endCxn id="29" idx="0"/>
                        </wps:cNvCnPr>
                        <wps:spPr>
                          <a:xfrm>
                            <a:off x="3313890" y="3514725"/>
                            <a:ext cx="551" cy="509270"/>
                          </a:xfrm>
                          <a:prstGeom prst="straightConnector1">
                            <a:avLst/>
                          </a:prstGeom>
                          <a:ln w="25400">
                            <a:solidFill>
                              <a:srgbClr val="7030A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0" name="Connecteur droit avec flèche 40"/>
                        <wps:cNvCnPr/>
                        <wps:spPr>
                          <a:xfrm>
                            <a:off x="2171030" y="5704840"/>
                            <a:ext cx="0" cy="1167130"/>
                          </a:xfrm>
                          <a:prstGeom prst="straightConnector1">
                            <a:avLst/>
                          </a:prstGeom>
                          <a:ln w="25400">
                            <a:solidFill>
                              <a:srgbClr val="7030A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1" name="Ellipse 41"/>
                        <wps:cNvSpPr/>
                        <wps:spPr>
                          <a:xfrm>
                            <a:off x="233008" y="3900170"/>
                            <a:ext cx="1147551" cy="73787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A64736" w:rsidRDefault="00A64736" w:rsidP="00A64736">
                              <w:pPr>
                                <w:jc w:val="center"/>
                              </w:pPr>
                              <w:r>
                                <w:t>CRUQPEC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Ellipse 42"/>
                        <wps:cNvSpPr/>
                        <wps:spPr>
                          <a:xfrm>
                            <a:off x="5254530" y="3900170"/>
                            <a:ext cx="838200" cy="737870"/>
                          </a:xfrm>
                          <a:prstGeom prst="ellipse">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A64736" w:rsidRDefault="00A64736" w:rsidP="00A64736">
                              <w:pPr>
                                <w:rPr>
                                  <w:rFonts w:eastAsia="Times New Roman"/>
                                </w:rPr>
                              </w:pPr>
                              <w:r>
                                <w:rPr>
                                  <w:rFonts w:eastAsia="Times New Roman"/>
                                </w:rPr>
                                <w:t>CHSCT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Ellipse 39"/>
                        <wps:cNvSpPr/>
                        <wps:spPr>
                          <a:xfrm>
                            <a:off x="3423513" y="3076575"/>
                            <a:ext cx="1947426" cy="100012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A64736" w:rsidRPr="00260CCF" w:rsidRDefault="00A64736" w:rsidP="00A64736">
                              <w:pPr>
                                <w:jc w:val="center"/>
                                <w:rPr>
                                  <w:rFonts w:ascii="Trebuchet MS" w:hAnsi="Trebuchet MS"/>
                                  <w:sz w:val="24"/>
                                  <w:szCs w:val="24"/>
                                </w:rPr>
                              </w:pPr>
                              <w:r w:rsidRPr="00260CCF">
                                <w:rPr>
                                  <w:rFonts w:ascii="Trebuchet MS" w:hAnsi="Trebuchet MS"/>
                                  <w:sz w:val="24"/>
                                  <w:szCs w:val="24"/>
                                </w:rPr>
                                <w:t xml:space="preserve">Experts extérieurs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Zone de dessin 1" o:spid="_x0000_s1026" editas="canvas" style="width:486.35pt;height:615.75pt;mso-position-horizontal-relative:char;mso-position-vertical-relative:line" coordsize="61760,7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60;height:78200;visibility:visible;mso-wrap-style:square">
                  <v:fill o:detectmouseclick="t"/>
                  <v:path o:connecttype="none"/>
                </v:shape>
                <v:roundrect id="Rectangle à coins arrondis 3" o:spid="_x0000_s1028" style="position:absolute;left:9143;top:2476;width:17230;height:89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SpMIA&#10;AADaAAAADwAAAGRycy9kb3ducmV2LnhtbESPQWvCQBSE7wX/w/KE3uqmSkNJXaUoSj0m9qC3R/Y1&#10;Wcy+DburJv/eLRR6HGbmG2a5HmwnbuSDcazgdZaBIK6dNtwo+D7uXt5BhIissXNMCkYKsF5NnpZY&#10;aHfnkm5VbESCcChQQRtjX0gZ6pYshpnriZP347zFmKRvpPZ4T3DbyXmW5dKi4bTQYk+blupLdbUK&#10;SjPm25w2F38u+XTcm/FAb5VSz9Ph8wNEpCH+h//aX1rBAn6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FKkwgAAANoAAAAPAAAAAAAAAAAAAAAAAJgCAABkcnMvZG93&#10;bnJldi54bWxQSwUGAAAAAAQABAD1AAAAhwMAAAAA&#10;" fillcolor="#8064a2 [3207]" strokecolor="white [3201]" strokeweight="3pt">
                  <v:shadow on="t" color="black" opacity="24903f" origin=",.5" offset="0,.55556mm"/>
                  <v:textbox>
                    <w:txbxContent>
                      <w:p w:rsidR="00A64736" w:rsidRPr="00260CCF" w:rsidRDefault="00A64736" w:rsidP="00A64736">
                        <w:pPr>
                          <w:jc w:val="center"/>
                          <w:rPr>
                            <w:rFonts w:ascii="Trebuchet MS" w:hAnsi="Trebuchet MS"/>
                            <w:sz w:val="24"/>
                            <w:szCs w:val="24"/>
                          </w:rPr>
                        </w:pPr>
                        <w:r w:rsidRPr="00260CCF">
                          <w:rPr>
                            <w:rFonts w:ascii="Trebuchet MS" w:hAnsi="Trebuchet MS"/>
                            <w:sz w:val="24"/>
                            <w:szCs w:val="24"/>
                          </w:rPr>
                          <w:t>Le directeur de l’association</w:t>
                        </w:r>
                      </w:p>
                    </w:txbxContent>
                  </v:textbox>
                </v:roundrect>
                <v:roundrect id="Rectangle à coins arrondis 28" o:spid="_x0000_s1029" style="position:absolute;left:10285;top:15125;width:44577;height:20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zOsEA&#10;AADbAAAADwAAAGRycy9kb3ducmV2LnhtbERPXWvCMBR9H/gfwhX2NlNlDK1GGYKgbFissr1emmta&#10;1tyUJmr2782D4OPhfC9W0bbiSr1vHCsYjzIQxJXTDRsFp+PmbQrCB2SNrWNS8E8eVsvBywJz7W58&#10;oGsZjEgh7HNUUIfQ5VL6qiaLfuQ64sSdXW8xJNgbqXu8pXDbykmWfUiLDaeGGjta11T9lRerIG5+&#10;48zsze5iZ9/T4vBVvP+UhVKvw/g5BxEohqf44d5qBZM0Nn1JP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t8zrBAAAA2wAAAA8AAAAAAAAAAAAAAAAAmAIAAGRycy9kb3du&#10;cmV2LnhtbFBLBQYAAAAABAAEAPUAAACGAwAAAAA=&#10;" fillcolor="white [3201]" strokecolor="#8064a2 [3207]" strokeweight="2pt">
                  <v:textbox>
                    <w:txbxContent>
                      <w:p w:rsidR="00A64736" w:rsidRPr="00260CCF" w:rsidRDefault="00A64736" w:rsidP="00A64736">
                        <w:pPr>
                          <w:autoSpaceDE w:val="0"/>
                          <w:autoSpaceDN w:val="0"/>
                          <w:adjustRightInd w:val="0"/>
                          <w:spacing w:after="0" w:line="240" w:lineRule="auto"/>
                          <w:jc w:val="center"/>
                          <w:rPr>
                            <w:rFonts w:ascii="TrebuchetMS" w:hAnsi="TrebuchetMS" w:cs="TrebuchetMS"/>
                            <w:b/>
                            <w:i/>
                            <w:sz w:val="24"/>
                            <w:szCs w:val="24"/>
                          </w:rPr>
                        </w:pPr>
                        <w:r w:rsidRPr="00260CCF">
                          <w:rPr>
                            <w:rFonts w:ascii="TrebuchetMS" w:hAnsi="TrebuchetMS" w:cs="TrebuchetMS"/>
                            <w:b/>
                            <w:i/>
                            <w:sz w:val="24"/>
                            <w:szCs w:val="24"/>
                          </w:rPr>
                          <w:t>C</w:t>
                        </w:r>
                        <w:r>
                          <w:rPr>
                            <w:rFonts w:ascii="TrebuchetMS" w:hAnsi="TrebuchetMS" w:cs="TrebuchetMS"/>
                            <w:b/>
                            <w:i/>
                            <w:sz w:val="24"/>
                            <w:szCs w:val="24"/>
                          </w:rPr>
                          <w:t xml:space="preserve">onférence </w:t>
                        </w:r>
                        <w:r w:rsidRPr="00260CCF">
                          <w:rPr>
                            <w:rFonts w:ascii="TrebuchetMS" w:hAnsi="TrebuchetMS" w:cs="TrebuchetMS"/>
                            <w:b/>
                            <w:i/>
                            <w:sz w:val="24"/>
                            <w:szCs w:val="24"/>
                          </w:rPr>
                          <w:t>M</w:t>
                        </w:r>
                        <w:r>
                          <w:rPr>
                            <w:rFonts w:ascii="TrebuchetMS" w:hAnsi="TrebuchetMS" w:cs="TrebuchetMS"/>
                            <w:b/>
                            <w:i/>
                            <w:sz w:val="24"/>
                            <w:szCs w:val="24"/>
                          </w:rPr>
                          <w:t>édicale d’</w:t>
                        </w:r>
                        <w:r w:rsidRPr="00260CCF">
                          <w:rPr>
                            <w:rFonts w:ascii="TrebuchetMS" w:hAnsi="TrebuchetMS" w:cs="TrebuchetMS"/>
                            <w:b/>
                            <w:i/>
                            <w:sz w:val="24"/>
                            <w:szCs w:val="24"/>
                          </w:rPr>
                          <w:t>E</w:t>
                        </w:r>
                        <w:r>
                          <w:rPr>
                            <w:rFonts w:ascii="TrebuchetMS" w:hAnsi="TrebuchetMS" w:cs="TrebuchetMS"/>
                            <w:b/>
                            <w:i/>
                            <w:sz w:val="24"/>
                            <w:szCs w:val="24"/>
                          </w:rPr>
                          <w:t>tablissement : pilotage QGDR</w:t>
                        </w:r>
                      </w:p>
                      <w:p w:rsidR="00A64736" w:rsidRDefault="00A64736" w:rsidP="00A64736">
                        <w:pPr>
                          <w:autoSpaceDE w:val="0"/>
                          <w:autoSpaceDN w:val="0"/>
                          <w:adjustRightInd w:val="0"/>
                          <w:spacing w:after="0" w:line="240" w:lineRule="auto"/>
                          <w:jc w:val="both"/>
                          <w:rPr>
                            <w:rFonts w:ascii="TrebuchetMS" w:hAnsi="TrebuchetMS" w:cs="TrebuchetMS"/>
                            <w:sz w:val="24"/>
                            <w:szCs w:val="24"/>
                          </w:rPr>
                        </w:pPr>
                        <w:r>
                          <w:rPr>
                            <w:rFonts w:ascii="TrebuchetMS" w:hAnsi="TrebuchetMS" w:cs="TrebuchetMS"/>
                            <w:sz w:val="24"/>
                            <w:szCs w:val="24"/>
                          </w:rPr>
                          <w:t xml:space="preserve">Le Président de la conférence médicale d’établissement, est chargé, conjointement avec le directeur de l’établissement de santé, de la politique médicale de l’établissement, de la politique d’amélioration continue de la qualité et de la sécurité des soins ainsi que des conditions d’accueil et de prise en charge des usagers. Il propose un programme d’actions. (Fiche mission du Président de la CME 2012) </w:t>
                        </w:r>
                      </w:p>
                      <w:p w:rsidR="00A64736" w:rsidRDefault="00A64736" w:rsidP="00A64736">
                        <w:pPr>
                          <w:autoSpaceDE w:val="0"/>
                          <w:autoSpaceDN w:val="0"/>
                          <w:adjustRightInd w:val="0"/>
                          <w:spacing w:after="0" w:line="240" w:lineRule="auto"/>
                          <w:jc w:val="both"/>
                          <w:rPr>
                            <w:rFonts w:ascii="TrebuchetMS" w:hAnsi="TrebuchetMS" w:cs="TrebuchetMS"/>
                            <w:sz w:val="24"/>
                            <w:szCs w:val="24"/>
                          </w:rPr>
                        </w:pPr>
                      </w:p>
                      <w:p w:rsidR="00A64736" w:rsidRDefault="00A64736" w:rsidP="00A64736">
                        <w:pPr>
                          <w:autoSpaceDE w:val="0"/>
                          <w:autoSpaceDN w:val="0"/>
                          <w:adjustRightInd w:val="0"/>
                          <w:spacing w:after="0" w:line="240" w:lineRule="auto"/>
                          <w:jc w:val="both"/>
                          <w:rPr>
                            <w:rFonts w:ascii="TrebuchetMS" w:hAnsi="TrebuchetMS" w:cs="TrebuchetMS"/>
                            <w:sz w:val="24"/>
                            <w:szCs w:val="24"/>
                          </w:rPr>
                        </w:pPr>
                      </w:p>
                      <w:p w:rsidR="00A64736" w:rsidRDefault="00A64736" w:rsidP="00A64736">
                        <w:pPr>
                          <w:autoSpaceDE w:val="0"/>
                          <w:autoSpaceDN w:val="0"/>
                          <w:adjustRightInd w:val="0"/>
                          <w:spacing w:after="0" w:line="240" w:lineRule="auto"/>
                          <w:jc w:val="both"/>
                          <w:rPr>
                            <w:rFonts w:eastAsia="Times New Roman"/>
                          </w:rPr>
                        </w:pPr>
                      </w:p>
                    </w:txbxContent>
                  </v:textbox>
                </v:roundrect>
                <v:roundrect id="Rectangle à coins arrondis 29" o:spid="_x0000_s1030" style="position:absolute;left:12570;top:40239;width:41148;height:168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WocQA&#10;AADbAAAADwAAAGRycy9kb3ducmV2LnhtbESPUWvCMBSF3wf+h3AHe5vpZAxbjSKCsLFhsRv6emmu&#10;abG5KU3U7N+bwcDHwznnO5z5MtpOXGjwrWMFL+MMBHHtdMtGwc/35nkKwgdkjZ1jUvBLHpaL0cMc&#10;C+2uvKNLFYxIEPYFKmhC6Aspfd2QRT92PXHyjm6wGJIcjNQDXhPcdnKSZW/SYstpocGe1g3Vp+ps&#10;FcTNIeZmaz7ONv+alrvP8nVflUo9PcbVDESgGO7h//a7VjDJ4e9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hVqHEAAAA2wAAAA8AAAAAAAAAAAAAAAAAmAIAAGRycy9k&#10;b3ducmV2LnhtbFBLBQYAAAAABAAEAPUAAACJAwAAAAA=&#10;" fillcolor="white [3201]" strokecolor="#8064a2 [3207]" strokeweight="2pt">
                  <v:textbox>
                    <w:txbxContent>
                      <w:p w:rsidR="00A64736" w:rsidRDefault="00A64736" w:rsidP="00A64736">
                        <w:pPr>
                          <w:pStyle w:val="NormalWeb"/>
                          <w:spacing w:before="0" w:beforeAutospacing="0" w:after="200" w:afterAutospacing="0"/>
                          <w:jc w:val="center"/>
                          <w:rPr>
                            <w:rFonts w:ascii="Trebuchet MS" w:eastAsia="Times New Roman" w:hAnsi="Trebuchet MS"/>
                          </w:rPr>
                        </w:pPr>
                        <w:r w:rsidRPr="001553E5">
                          <w:rPr>
                            <w:rFonts w:ascii="Trebuchet MS" w:eastAsia="Times New Roman" w:hAnsi="Trebuchet MS"/>
                            <w:b/>
                            <w:i/>
                          </w:rPr>
                          <w:t>Sous-commission CME chargée de la qualité et de la gestion des risques</w:t>
                        </w:r>
                        <w:r>
                          <w:rPr>
                            <w:rFonts w:ascii="Trebuchet MS" w:eastAsia="Times New Roman" w:hAnsi="Trebuchet MS"/>
                            <w:b/>
                            <w:i/>
                          </w:rPr>
                          <w:t xml:space="preserve"> (CQGDR)</w:t>
                        </w:r>
                        <w:r w:rsidRPr="001553E5">
                          <w:rPr>
                            <w:rFonts w:ascii="Trebuchet MS" w:eastAsia="Times New Roman" w:hAnsi="Trebuchet MS"/>
                            <w:b/>
                            <w:i/>
                          </w:rPr>
                          <w:t>, Animateur QSE associatif</w:t>
                        </w:r>
                        <w:r>
                          <w:rPr>
                            <w:rFonts w:ascii="Trebuchet MS" w:eastAsia="Times New Roman" w:hAnsi="Trebuchet MS"/>
                          </w:rPr>
                          <w:t> :</w:t>
                        </w:r>
                      </w:p>
                      <w:p w:rsidR="00A64736" w:rsidRDefault="00A64736" w:rsidP="00A64736">
                        <w:pPr>
                          <w:pStyle w:val="NormalWeb"/>
                          <w:spacing w:before="0" w:beforeAutospacing="0" w:after="200" w:afterAutospacing="0"/>
                          <w:jc w:val="both"/>
                          <w:rPr>
                            <w:rFonts w:ascii="Trebuchet MS" w:eastAsia="Times New Roman" w:hAnsi="Trebuchet MS"/>
                          </w:rPr>
                        </w:pPr>
                        <w:r w:rsidRPr="00260CCF">
                          <w:rPr>
                            <w:rFonts w:ascii="Trebuchet MS" w:eastAsia="Times New Roman" w:hAnsi="Trebuchet MS"/>
                            <w:color w:val="0070C0"/>
                          </w:rPr>
                          <w:t>Coordination</w:t>
                        </w:r>
                        <w:r>
                          <w:rPr>
                            <w:rFonts w:ascii="Trebuchet MS" w:eastAsia="Times New Roman" w:hAnsi="Trebuchet MS"/>
                          </w:rPr>
                          <w:t xml:space="preserve"> de la démarche QGDR, </w:t>
                        </w:r>
                        <w:r w:rsidRPr="00260CCF">
                          <w:rPr>
                            <w:rFonts w:ascii="Trebuchet MS" w:eastAsia="Times New Roman" w:hAnsi="Trebuchet MS"/>
                            <w:color w:val="0070C0"/>
                          </w:rPr>
                          <w:t>réflexion</w:t>
                        </w:r>
                        <w:r>
                          <w:rPr>
                            <w:rFonts w:ascii="Trebuchet MS" w:eastAsia="Times New Roman" w:hAnsi="Trebuchet MS"/>
                          </w:rPr>
                          <w:t xml:space="preserve"> globale, </w:t>
                        </w:r>
                        <w:r w:rsidRPr="00260CCF">
                          <w:rPr>
                            <w:rFonts w:ascii="Trebuchet MS" w:eastAsia="Times New Roman" w:hAnsi="Trebuchet MS"/>
                            <w:color w:val="0070C0"/>
                          </w:rPr>
                          <w:t>élaboration</w:t>
                        </w:r>
                        <w:r>
                          <w:rPr>
                            <w:rFonts w:ascii="Trebuchet MS" w:eastAsia="Times New Roman" w:hAnsi="Trebuchet MS"/>
                          </w:rPr>
                          <w:t xml:space="preserve"> de protocoles, </w:t>
                        </w:r>
                        <w:r>
                          <w:rPr>
                            <w:rFonts w:ascii="Trebuchet MS" w:eastAsia="Times New Roman" w:hAnsi="Trebuchet MS"/>
                            <w:color w:val="0070C0"/>
                          </w:rPr>
                          <w:t>cohérence</w:t>
                        </w:r>
                        <w:r>
                          <w:rPr>
                            <w:rFonts w:ascii="Trebuchet MS" w:eastAsia="Times New Roman" w:hAnsi="Trebuchet MS"/>
                          </w:rPr>
                          <w:t xml:space="preserve"> des actions, </w:t>
                        </w:r>
                        <w:r w:rsidRPr="00260CCF">
                          <w:rPr>
                            <w:rFonts w:ascii="Trebuchet MS" w:eastAsia="Times New Roman" w:hAnsi="Trebuchet MS"/>
                            <w:color w:val="0070C0"/>
                          </w:rPr>
                          <w:t>définition des actions d’amélioration</w:t>
                        </w:r>
                        <w:r>
                          <w:rPr>
                            <w:rFonts w:ascii="Trebuchet MS" w:eastAsia="Times New Roman" w:hAnsi="Trebuchet MS"/>
                          </w:rPr>
                          <w:t xml:space="preserve">, </w:t>
                        </w:r>
                        <w:r w:rsidRPr="00260CCF">
                          <w:rPr>
                            <w:rFonts w:ascii="Trebuchet MS" w:eastAsia="Times New Roman" w:hAnsi="Trebuchet MS"/>
                            <w:color w:val="0070C0"/>
                          </w:rPr>
                          <w:t>analyse</w:t>
                        </w:r>
                        <w:r>
                          <w:rPr>
                            <w:rFonts w:ascii="Trebuchet MS" w:eastAsia="Times New Roman" w:hAnsi="Trebuchet MS"/>
                          </w:rPr>
                          <w:t xml:space="preserve"> des risques a posteriori, </w:t>
                        </w:r>
                      </w:p>
                      <w:p w:rsidR="00A64736" w:rsidRPr="005E508A" w:rsidRDefault="00A64736" w:rsidP="00A64736">
                        <w:pPr>
                          <w:pStyle w:val="NormalWeb"/>
                          <w:spacing w:before="0" w:beforeAutospacing="0" w:after="200" w:afterAutospacing="0" w:line="276" w:lineRule="auto"/>
                          <w:jc w:val="both"/>
                          <w:rPr>
                            <w:rFonts w:ascii="Trebuchet MS" w:hAnsi="Trebuchet MS"/>
                          </w:rPr>
                        </w:pPr>
                      </w:p>
                    </w:txbxContent>
                  </v:textbox>
                </v:roundrect>
                <v:roundrect id="Rectangle à coins arrondis 30" o:spid="_x0000_s1031" style="position:absolute;left:23847;top:56718;width:36062;height:98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CBcEA&#10;AADbAAAADwAAAGRycy9kb3ducmV2LnhtbERPy4rCMBTdC/5DuMLsNFUHlWoUFQdmFgo+Fi4vybUt&#10;NjelibYzXz9ZCC4P571YtbYUT6p94VjBcJCAINbOFJwpuJy/+jMQPiAbLB2Tgl/ysFp2OwtMjWv4&#10;SM9TyEQMYZ+igjyEKpXS65ws+oGriCN3c7XFEGGdSVNjE8NtKUdJMpEWC44NOVa0zUnfTw+rIOjG&#10;nw/7v09a7/TxZ1puzPbaKvXRa9dzEIHa8Ba/3N9GwTiuj1/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gXBAAAA2wAAAA8AAAAAAAAAAAAAAAAAmAIAAGRycy9kb3du&#10;cmV2LnhtbFBLBQYAAAAABAAEAPUAAACGAwAAAAA=&#10;" fillcolor="white [3201]" strokecolor="#9bbb59 [3206]" strokeweight="2pt">
                  <v:textbox>
                    <w:txbxContent>
                      <w:p w:rsidR="00A64736" w:rsidRPr="001553E5" w:rsidRDefault="00A64736" w:rsidP="00A64736">
                        <w:pPr>
                          <w:jc w:val="center"/>
                          <w:rPr>
                            <w:rFonts w:ascii="Trebuchet MS" w:eastAsia="Times New Roman" w:hAnsi="Trebuchet MS"/>
                          </w:rPr>
                        </w:pPr>
                        <w:r w:rsidRPr="001553E5">
                          <w:rPr>
                            <w:rFonts w:ascii="Trebuchet MS" w:eastAsia="Times New Roman" w:hAnsi="Trebuchet MS"/>
                            <w:b/>
                            <w:i/>
                          </w:rPr>
                          <w:t>Groupes de travail thématique</w:t>
                        </w:r>
                        <w:r w:rsidRPr="001553E5">
                          <w:rPr>
                            <w:rFonts w:ascii="Trebuchet MS" w:eastAsia="Times New Roman" w:hAnsi="Trebuchet MS"/>
                          </w:rPr>
                          <w:t> </w:t>
                        </w:r>
                        <w:r w:rsidRPr="00397548">
                          <w:rPr>
                            <w:rFonts w:ascii="Trebuchet MS" w:eastAsia="Times New Roman" w:hAnsi="Trebuchet MS"/>
                            <w:color w:val="00B050"/>
                          </w:rPr>
                          <w:t xml:space="preserve">associatif </w:t>
                        </w:r>
                        <w:r>
                          <w:rPr>
                            <w:rFonts w:ascii="Trebuchet MS" w:eastAsia="Times New Roman" w:hAnsi="Trebuchet MS"/>
                          </w:rPr>
                          <w:t xml:space="preserve">ou </w:t>
                        </w:r>
                        <w:r w:rsidRPr="00397548">
                          <w:rPr>
                            <w:rFonts w:ascii="Trebuchet MS" w:eastAsia="Times New Roman" w:hAnsi="Trebuchet MS"/>
                            <w:color w:val="7030A0"/>
                          </w:rPr>
                          <w:t xml:space="preserve">spécifique au secteur d’activité </w:t>
                        </w:r>
                        <w:r>
                          <w:rPr>
                            <w:rFonts w:ascii="Trebuchet MS" w:eastAsia="Times New Roman" w:hAnsi="Trebuchet MS"/>
                          </w:rPr>
                          <w:t>(</w:t>
                        </w:r>
                        <w:r w:rsidRPr="001553E5">
                          <w:rPr>
                            <w:rFonts w:ascii="Trebuchet MS" w:eastAsia="Times New Roman" w:hAnsi="Trebuchet MS"/>
                          </w:rPr>
                          <w:t>bientraitance, évaluation des risques a priori, EPP</w:t>
                        </w:r>
                        <w:r>
                          <w:rPr>
                            <w:rFonts w:ascii="Trebuchet MS" w:eastAsia="Times New Roman" w:hAnsi="Trebuchet MS"/>
                          </w:rPr>
                          <w:t>) :</w:t>
                        </w:r>
                        <w:r w:rsidRPr="001553E5">
                          <w:rPr>
                            <w:rFonts w:ascii="Trebuchet MS" w:eastAsia="Times New Roman" w:hAnsi="Trebuchet MS"/>
                          </w:rPr>
                          <w:t xml:space="preserve"> Réflexion, recherche documentaire, élaboration de protocoles</w:t>
                        </w:r>
                        <w:r>
                          <w:rPr>
                            <w:rFonts w:ascii="Trebuchet MS" w:eastAsia="Times New Roman" w:hAnsi="Trebuchet MS"/>
                          </w:rPr>
                          <w:t>.</w:t>
                        </w:r>
                      </w:p>
                    </w:txbxContent>
                  </v:textbox>
                </v:roundrect>
                <v:roundrect id="Rectangle à coins arrondis 6" o:spid="_x0000_s1032" style="position:absolute;left:38766;top:2476;width:17240;height:89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PMEA&#10;AADaAAAADwAAAGRycy9kb3ducmV2LnhtbESPQWvCQBSE74L/YXmCN920YJDUVYpiaY+JHtrbI/ua&#10;LGbfht2tJv++Kwgeh5n5htnsBtuJK/lgHCt4WWYgiGunDTcKzqfjYg0iRGSNnWNSMFKA3XY62WCh&#10;3Y1LulaxEQnCoUAFbYx9IWWoW7IYlq4nTt6v8xZjkr6R2uMtwW0nX7MslxYNp4UWe9q3VF+qP6ug&#10;NGN+yGl/8T8lf58+zPhFq0qp+Wx4fwMRaYjP8KP9qRXkcL+Sb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8TzBAAAA2gAAAA8AAAAAAAAAAAAAAAAAmAIAAGRycy9kb3du&#10;cmV2LnhtbFBLBQYAAAAABAAEAPUAAACGAwAAAAA=&#10;" fillcolor="#8064a2 [3207]" strokecolor="white [3201]" strokeweight="3pt">
                  <v:shadow on="t" color="black" opacity="24903f" origin=",.5" offset="0,.55556mm"/>
                  <v:textbox>
                    <w:txbxContent>
                      <w:p w:rsidR="00A64736" w:rsidRPr="00260CCF" w:rsidRDefault="00A64736" w:rsidP="00A64736">
                        <w:pPr>
                          <w:jc w:val="center"/>
                          <w:rPr>
                            <w:rFonts w:ascii="Trebuchet MS" w:hAnsi="Trebuchet MS"/>
                            <w:sz w:val="24"/>
                            <w:szCs w:val="24"/>
                          </w:rPr>
                        </w:pPr>
                        <w:r w:rsidRPr="00260CCF">
                          <w:rPr>
                            <w:rFonts w:ascii="Trebuchet MS" w:hAnsi="Trebuchet MS"/>
                            <w:sz w:val="24"/>
                            <w:szCs w:val="24"/>
                          </w:rPr>
                          <w:t>Le président de la CME</w:t>
                        </w:r>
                      </w:p>
                    </w:txbxContent>
                  </v:textbox>
                </v:roundrect>
                <v:roundrect id="Rectangle à coins arrondis 37" o:spid="_x0000_s1033" style="position:absolute;left:11357;top:68719;width:41137;height:8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vxlcUA&#10;AADbAAAADwAAAGRycy9kb3ducmV2LnhtbESPQWsCMRSE74X+h/AKvdVsrVRdjVIEQbF0cS31+ti8&#10;ZpduXpZN1PjvTaHQ4zAz3zDzZbStOFPvG8cKngcZCOLK6YaNgs/D+mkCwgdkja1jUnAlD8vF/d0c&#10;c+0uvKdzGYxIEPY5KqhD6HIpfVWTRT9wHXHyvl1vMSTZG6l7vCS4beUwy16lxYbTQo0drWqqfsqT&#10;VRDXxzg1H2Z7stP3SbHfFaOvslDq8SG+zUAEiuE//NfeaAUvY/j9k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GVxQAAANsAAAAPAAAAAAAAAAAAAAAAAJgCAABkcnMv&#10;ZG93bnJldi54bWxQSwUGAAAAAAQABAD1AAAAigMAAAAA&#10;" fillcolor="white [3201]" strokecolor="#8064a2 [3207]" strokeweight="2pt">
                  <v:textbox>
                    <w:txbxContent>
                      <w:p w:rsidR="00A64736" w:rsidRPr="001553E5" w:rsidRDefault="00A64736" w:rsidP="00A64736">
                        <w:pPr>
                          <w:pStyle w:val="NormalWeb"/>
                          <w:spacing w:before="0" w:beforeAutospacing="0" w:after="200" w:afterAutospacing="0" w:line="276" w:lineRule="auto"/>
                          <w:jc w:val="center"/>
                          <w:rPr>
                            <w:rFonts w:ascii="Trebuchet MS" w:hAnsi="Trebuchet MS"/>
                          </w:rPr>
                        </w:pPr>
                        <w:r w:rsidRPr="00260CCF">
                          <w:rPr>
                            <w:rFonts w:ascii="Trebuchet MS" w:eastAsia="Times New Roman" w:hAnsi="Trebuchet MS"/>
                            <w:b/>
                            <w:i/>
                            <w:sz w:val="22"/>
                            <w:szCs w:val="22"/>
                          </w:rPr>
                          <w:t>Réunions institutionnelles, équipes</w:t>
                        </w:r>
                        <w:r w:rsidRPr="001553E5">
                          <w:rPr>
                            <w:rFonts w:ascii="Trebuchet MS" w:eastAsia="Times New Roman" w:hAnsi="Trebuchet MS"/>
                            <w:sz w:val="22"/>
                            <w:szCs w:val="22"/>
                          </w:rPr>
                          <w:t> : diffusion protocoles, évaluation a posteriori</w:t>
                        </w:r>
                        <w:r>
                          <w:rPr>
                            <w:rFonts w:ascii="Trebuchet MS" w:eastAsia="Times New Roman" w:hAnsi="Trebuchet MS"/>
                            <w:sz w:val="22"/>
                            <w:szCs w:val="22"/>
                          </w:rPr>
                          <w:t>.</w:t>
                        </w:r>
                      </w:p>
                    </w:txbxContent>
                  </v:textbox>
                </v:roundrect>
                <v:line id="Connecteur droit 22" o:spid="_x0000_s1034" style="position:absolute;visibility:visible;mso-wrap-style:square" from="17758,11454" to="32572,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A6r8MAAADbAAAADwAAAGRycy9kb3ducmV2LnhtbESPQWvCQBSE74L/YXmCN90YpNXoKqUg&#10;iIVird6f2WcSzb4N2TWJ/94tFDwOM/MNs1x3phQN1a6wrGAyjkAQp1YXnCk4/m5GMxDOI2ssLZOC&#10;BzlYr/q9JSbatvxDzcFnIkDYJagg975KpHRpTgbd2FbEwbvY2qAPss6krrENcFPKOIrepMGCw0KO&#10;FX3mlN4Od6NgJ0+N2zd+O73O9t/tfPqeTr7OSg0H3ccChKfOv8L/7a1WEMfw9yX8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QOq/DAAAA2wAAAA8AAAAAAAAAAAAA&#10;AAAAoQIAAGRycy9kb3ducmV2LnhtbFBLBQYAAAAABAAEAPkAAACRAwAAAAA=&#10;" strokecolor="#7030a0" strokeweight="2pt"/>
                <v:line id="Connecteur droit 25" o:spid="_x0000_s1035" style="position:absolute;flip:x;visibility:visible;mso-wrap-style:square" from="32572,11454" to="47386,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KzuMYAAADbAAAADwAAAGRycy9kb3ducmV2LnhtbESPT2vCQBTE74V+h+UVvIhuFCo1ZiOl&#10;f0DoSS3i8Zl9ZoPZtzG7xtRP3y0IPQ4z8xsmW/a2Fh21vnKsYDJOQBAXTldcKvjefo5eQPiArLF2&#10;TAp+yMMyf3zIMNXuymvqNqEUEcI+RQUmhCaV0heGLPqxa4ijd3StxRBlW0rd4jXCbS2nSTKTFiuO&#10;CwYbejNUnDYXq6C+9TN91nOz2r3fut3H6TDcl19KDZ761wWIQH34D9/bK61g+gx/X+IPk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is7jGAAAA2wAAAA8AAAAAAAAA&#10;AAAAAAAAoQIAAGRycy9kb3ducmV2LnhtbFBLBQYAAAAABAAEAPkAAACUAwAAAAA=&#10;" strokecolor="#7030a0" strokeweight="2pt"/>
                <v:shapetype id="_x0000_t32" coordsize="21600,21600" o:spt="32" o:oned="t" path="m,l21600,21600e" filled="f">
                  <v:path arrowok="t" fillok="f" o:connecttype="none"/>
                  <o:lock v:ext="edit" shapetype="t"/>
                </v:shapetype>
                <v:shape id="Connecteur droit avec flèche 38" o:spid="_x0000_s1036" type="#_x0000_t32" style="position:absolute;left:33138;top:35147;width:6;height:5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vuOr0AAADbAAAADwAAAGRycy9kb3ducmV2LnhtbERPTYvCMBC9C/6HMMLeNNXFItUoUpH1&#10;ald6HpqxLTaTkkSt++vNQdjj431vdoPpxIOcby0rmM8SEMSV1S3XCi6/x+kKhA/IGjvLpOBFHnbb&#10;8WiDmbZPPtOjCLWIIewzVNCE0GdS+qohg35me+LIXa0zGCJ0tdQOnzHcdHKRJKk02HJsaLCnvKHq&#10;VtyNgmVZ/STpX/FyJHM8DHm5LNNSqa/JsF+DCDSEf/HHfdIKvuPY+CX+ALl9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4L7jq9AAAA2wAAAA8AAAAAAAAAAAAAAAAAoQIA&#10;AGRycy9kb3ducmV2LnhtbFBLBQYAAAAABAAEAPkAAACLAwAAAAA=&#10;" strokecolor="#7030a0" strokeweight="2pt">
                  <v:stroke startarrow="open" endarrow="open"/>
                </v:shape>
                <v:shape id="Connecteur droit avec flèche 40" o:spid="_x0000_s1037" type="#_x0000_t32" style="position:absolute;left:21710;top:57048;width:0;height:11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uRQb0AAADbAAAADwAAAGRycy9kb3ducmV2LnhtbERPTYvCMBC9C/6HMMLeNFXWItUoUpH1&#10;ald6HpqxLTaTkkSt++vNQdjj431vdoPpxIOcby0rmM8SEMSV1S3XCi6/x+kKhA/IGjvLpOBFHnbb&#10;8WiDmbZPPtOjCLWIIewzVNCE0GdS+qohg35me+LIXa0zGCJ0tdQOnzHcdHKRJKk02HJsaLCnvKHq&#10;VtyNgmVZ/STpX/FyJHM8DHm5LNNSqa/JsF+DCDSEf/HHfdIKvuP6+CX+ALl9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h7kUG9AAAA2wAAAA8AAAAAAAAAAAAAAAAAoQIA&#10;AGRycy9kb3ducmV2LnhtbFBLBQYAAAAABAAEAPkAAACLAwAAAAA=&#10;" strokecolor="#7030a0" strokeweight="2pt">
                  <v:stroke startarrow="open" endarrow="open"/>
                </v:shape>
                <v:oval id="Ellipse 41" o:spid="_x0000_s1038" style="position:absolute;left:2330;top:39001;width:11475;height:7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Dr8UA&#10;AADbAAAADwAAAGRycy9kb3ducmV2LnhtbESPT2sCMRTE7wW/Q3hCbzVraYusRrGltkp78N/F2zN5&#10;7i5uXpYkXddvbwqFHoeZ+Q0zmXW2Fi35UDlWMBxkIIi1MxUXCva7xcMIRIjIBmvHpOBKAWbT3t0E&#10;c+MuvKF2GwuRIBxyVFDG2ORSBl2SxTBwDXHyTs5bjEn6QhqPlwS3tXzMshdpseK0UGJDbyXp8/bH&#10;KjjOd3Rwh+/29ct/rJ/ftf5crIJS9/1uPgYRqYv/4b/20ih4GsLv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wOvxQAAANsAAAAPAAAAAAAAAAAAAAAAAJgCAABkcnMv&#10;ZG93bnJldi54bWxQSwUGAAAAAAQABAD1AAAAigMAAAAA&#10;" fillcolor="#8064a2 [3207]" strokecolor="#3f3151 [1607]" strokeweight="2pt">
                  <v:textbox>
                    <w:txbxContent>
                      <w:p w:rsidR="00A64736" w:rsidRDefault="00A64736" w:rsidP="00A64736">
                        <w:pPr>
                          <w:jc w:val="center"/>
                        </w:pPr>
                        <w:r>
                          <w:t>CRUQPEC</w:t>
                        </w:r>
                      </w:p>
                    </w:txbxContent>
                  </v:textbox>
                </v:oval>
                <v:oval id="Ellipse 42" o:spid="_x0000_s1039" style="position:absolute;left:52545;top:39001;width:8382;height:7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d2MUA&#10;AADbAAAADwAAAGRycy9kb3ducmV2LnhtbESPQWsCMRSE7wX/Q3hCbzVbaYtsjWJFrUUPVr14eyav&#10;u0s3L0sS1/XfN4VCj8PMfMOMp52tRUs+VI4VPA4yEMTamYoLBcfD8mEEIkRkg7VjUnCjANNJ726M&#10;uXFX/qR2HwuRIBxyVFDG2ORSBl2SxTBwDXHyvpy3GJP0hTQerwluaznMshdpseK0UGJD85L09/5i&#10;FZxnBzq507Z92/jV7nmh9fvyIyh13+9mryAidfE//NdeGwVPQ/j9kn6An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EZ3YxQAAANsAAAAPAAAAAAAAAAAAAAAAAJgCAABkcnMv&#10;ZG93bnJldi54bWxQSwUGAAAAAAQABAD1AAAAigMAAAAA&#10;" fillcolor="#8064a2 [3207]" strokecolor="#3f3151 [1607]" strokeweight="2pt">
                  <v:textbox>
                    <w:txbxContent>
                      <w:p w:rsidR="00A64736" w:rsidRDefault="00A64736" w:rsidP="00A64736">
                        <w:pPr>
                          <w:rPr>
                            <w:rFonts w:eastAsia="Times New Roman"/>
                          </w:rPr>
                        </w:pPr>
                        <w:r>
                          <w:rPr>
                            <w:rFonts w:eastAsia="Times New Roman"/>
                          </w:rPr>
                          <w:t>CHSCT</w:t>
                        </w:r>
                      </w:p>
                    </w:txbxContent>
                  </v:textbox>
                </v:oval>
                <v:oval id="Ellipse 39" o:spid="_x0000_s1040" style="position:absolute;left:34235;top:30765;width:19474;height:10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N81MYA&#10;AADbAAAADwAAAGRycy9kb3ducmV2LnhtbESPT08CMRTE7yZ8h+aRcIOuGo0sFIJGRKMH/l24Pdrn&#10;7sbt66Yty/rtqQmJx8nM/CYznXe2Fi35UDlWcDvKQBBrZyouFOx3y+ETiBCRDdaOScEvBZjPejdT&#10;zI0784babSxEgnDIUUEZY5NLGXRJFsPINcTJ+3beYkzSF9J4PCe4reVdlj1KixWnhRIbeilJ/2xP&#10;VsFxsaODO3y1z5/+bf3wqvVq+RGUGvS7xQREpC7+h6/td6Pgfgx/X9IP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N81MYAAADbAAAADwAAAAAAAAAAAAAAAACYAgAAZHJz&#10;L2Rvd25yZXYueG1sUEsFBgAAAAAEAAQA9QAAAIsDAAAAAA==&#10;" fillcolor="#8064a2 [3207]" strokecolor="#3f3151 [1607]" strokeweight="2pt">
                  <v:textbox>
                    <w:txbxContent>
                      <w:p w:rsidR="00A64736" w:rsidRPr="00260CCF" w:rsidRDefault="00A64736" w:rsidP="00A64736">
                        <w:pPr>
                          <w:jc w:val="center"/>
                          <w:rPr>
                            <w:rFonts w:ascii="Trebuchet MS" w:hAnsi="Trebuchet MS"/>
                            <w:sz w:val="24"/>
                            <w:szCs w:val="24"/>
                          </w:rPr>
                        </w:pPr>
                        <w:r w:rsidRPr="00260CCF">
                          <w:rPr>
                            <w:rFonts w:ascii="Trebuchet MS" w:hAnsi="Trebuchet MS"/>
                            <w:sz w:val="24"/>
                            <w:szCs w:val="24"/>
                          </w:rPr>
                          <w:t xml:space="preserve">Experts extérieurs </w:t>
                        </w:r>
                      </w:p>
                    </w:txbxContent>
                  </v:textbox>
                </v:oval>
                <w10:anchorlock/>
              </v:group>
            </w:pict>
          </mc:Fallback>
        </mc:AlternateContent>
      </w:r>
    </w:p>
    <w:p w:rsidR="00A64736" w:rsidRDefault="00A64736" w:rsidP="00A64736">
      <w:pPr>
        <w:pStyle w:val="Dfaut"/>
        <w:spacing w:before="240" w:line="276" w:lineRule="auto"/>
        <w:ind w:right="20"/>
        <w:jc w:val="both"/>
        <w:rPr>
          <w:rFonts w:ascii="Trebuchet MS" w:hAnsi="Trebuchet MS"/>
          <w:color w:val="auto"/>
          <w:szCs w:val="24"/>
        </w:rPr>
      </w:pPr>
      <w:r w:rsidRPr="00081BFD">
        <w:rPr>
          <w:rFonts w:ascii="Trebuchet MS" w:hAnsi="Trebuchet MS"/>
          <w:color w:val="auto"/>
          <w:szCs w:val="24"/>
        </w:rPr>
        <w:lastRenderedPageBreak/>
        <w:t>La conférence médicale d’établissement est charg</w:t>
      </w:r>
      <w:r>
        <w:rPr>
          <w:rFonts w:ascii="Trebuchet MS" w:hAnsi="Trebuchet MS"/>
          <w:color w:val="auto"/>
          <w:szCs w:val="24"/>
        </w:rPr>
        <w:t xml:space="preserve">ée du pilotage </w:t>
      </w:r>
      <w:r w:rsidRPr="00081BFD">
        <w:rPr>
          <w:rFonts w:ascii="Trebuchet MS" w:hAnsi="Trebuchet MS"/>
          <w:color w:val="auto"/>
          <w:szCs w:val="24"/>
        </w:rPr>
        <w:t>de la démarche qualité et de la gestion des risques</w:t>
      </w:r>
      <w:r>
        <w:rPr>
          <w:rFonts w:ascii="Trebuchet MS" w:hAnsi="Trebuchet MS"/>
          <w:color w:val="auto"/>
          <w:szCs w:val="24"/>
        </w:rPr>
        <w:t>. Elle délégue la démarche d’élaboration et de coordination à une sous-commission intitulée « Commission Qualité et Gestion des Risques (CQGDR)». Elle est constituée de soignants volontaires appelés « référent qualité » (RQ). Chaque dispositif est représenté. La commission est pluridisciplinaire (médecins, infirmiers, psychologues, administratifs, direction).</w:t>
      </w:r>
    </w:p>
    <w:p w:rsidR="00A64736" w:rsidRPr="00A64736" w:rsidRDefault="00A64736" w:rsidP="00A64736">
      <w:pPr>
        <w:pStyle w:val="Dfaut"/>
        <w:spacing w:before="240" w:line="276" w:lineRule="auto"/>
        <w:ind w:right="20"/>
        <w:jc w:val="both"/>
        <w:rPr>
          <w:rFonts w:ascii="Trebuchet MS" w:hAnsi="Trebuchet MS"/>
          <w:color w:val="auto"/>
          <w:szCs w:val="24"/>
        </w:rPr>
      </w:pPr>
      <w:r w:rsidRPr="00A64736">
        <w:rPr>
          <w:rFonts w:ascii="Trebuchet MS" w:hAnsi="Trebuchet MS"/>
          <w:color w:val="auto"/>
          <w:szCs w:val="24"/>
        </w:rPr>
        <w:t>Chaque référent qualité tient un rôle d’interface avec son équipe de soins. Il rend compte des travaux de la commission. La durée du mandat est alignée sur le calendrier d’entre deux visites de certitication.</w:t>
      </w:r>
    </w:p>
    <w:p w:rsidR="00A64736" w:rsidRPr="00A64736" w:rsidRDefault="00A64736" w:rsidP="00A64736">
      <w:pPr>
        <w:pStyle w:val="Dfaut"/>
        <w:spacing w:before="240" w:line="276" w:lineRule="auto"/>
        <w:ind w:right="20"/>
        <w:jc w:val="both"/>
        <w:rPr>
          <w:rFonts w:ascii="Trebuchet MS" w:hAnsi="Trebuchet MS"/>
          <w:color w:val="auto"/>
          <w:szCs w:val="24"/>
        </w:rPr>
      </w:pPr>
      <w:r w:rsidRPr="00A64736">
        <w:rPr>
          <w:rFonts w:ascii="Trebuchet MS" w:hAnsi="Trebuchet MS"/>
          <w:color w:val="auto"/>
          <w:szCs w:val="24"/>
        </w:rPr>
        <w:t>Les médecins membres de la CME en charge de dispositifs de soins se répartissent les attributions du président de la CME. Un tableau de répartition formalise cette répartition.</w:t>
      </w:r>
    </w:p>
    <w:p w:rsidR="00A64736" w:rsidRPr="00A64736" w:rsidRDefault="00A64736" w:rsidP="00A64736">
      <w:pPr>
        <w:pStyle w:val="Dfaut"/>
        <w:spacing w:before="240" w:line="276" w:lineRule="auto"/>
        <w:ind w:right="20"/>
        <w:jc w:val="both"/>
        <w:rPr>
          <w:rFonts w:ascii="Trebuchet MS" w:hAnsi="Trebuchet MS"/>
          <w:color w:val="auto"/>
          <w:szCs w:val="24"/>
        </w:rPr>
      </w:pPr>
      <w:r w:rsidRPr="00A64736">
        <w:rPr>
          <w:rFonts w:ascii="Trebuchet MS" w:hAnsi="Trebuchet MS"/>
          <w:color w:val="auto"/>
          <w:szCs w:val="24"/>
        </w:rPr>
        <w:t>La commission et la CME font appel à chaque fois que cela est nécessaire à des experts externes (CEPPRAL par exemple) ou prennet appui sur des coopérations interétablissements. Des groupes de travail thématiques associatifs ou spécifiques au secteur d’activité peuvent être mis en place avec une mission précisée.</w:t>
      </w:r>
    </w:p>
    <w:p w:rsidR="00A64736" w:rsidRPr="00A64736" w:rsidRDefault="00A64736" w:rsidP="00A64736">
      <w:pPr>
        <w:pStyle w:val="Dfaut"/>
        <w:spacing w:before="240" w:line="276" w:lineRule="auto"/>
        <w:ind w:right="20"/>
        <w:jc w:val="both"/>
        <w:rPr>
          <w:rFonts w:ascii="Trebuchet MS" w:hAnsi="Trebuchet MS"/>
          <w:color w:val="auto"/>
          <w:szCs w:val="24"/>
        </w:rPr>
      </w:pPr>
      <w:r w:rsidRPr="00A64736">
        <w:rPr>
          <w:rFonts w:ascii="Trebuchet MS" w:hAnsi="Trebuchet MS"/>
          <w:color w:val="auto"/>
          <w:szCs w:val="24"/>
        </w:rPr>
        <w:t>Un animateur QSE est chargée de la coordination opérationnelle de la démarche.</w:t>
      </w:r>
    </w:p>
    <w:p w:rsidR="00A64736" w:rsidRPr="00A64736" w:rsidRDefault="00A64736" w:rsidP="00A64736">
      <w:pPr>
        <w:jc w:val="both"/>
        <w:rPr>
          <w:sz w:val="24"/>
          <w:szCs w:val="24"/>
        </w:rPr>
      </w:pPr>
      <w:r w:rsidRPr="00A64736">
        <w:rPr>
          <w:rFonts w:ascii="Trebuchet MS" w:hAnsi="Trebuchet MS"/>
          <w:sz w:val="24"/>
          <w:szCs w:val="24"/>
        </w:rPr>
        <w:t>La réunion institutionnelle et les réunions cliniques ou d’équipe sont les espaces dédiés à la mise en œuvre opérationnelle de la démarche d’amélioration continue de la qualité et de la sécurité des soins ainsi que de la démarche environnementale. Le directeur et le président de la CME ou son représentant participe à toutes les réunions institutionnelles.</w:t>
      </w:r>
    </w:p>
    <w:sectPr w:rsidR="00A64736" w:rsidRPr="00A647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36" w:rsidRDefault="00A64736" w:rsidP="00A64736">
      <w:pPr>
        <w:spacing w:after="0" w:line="240" w:lineRule="auto"/>
      </w:pPr>
      <w:r>
        <w:separator/>
      </w:r>
    </w:p>
  </w:endnote>
  <w:endnote w:type="continuationSeparator" w:id="0">
    <w:p w:rsidR="00A64736" w:rsidRDefault="00A64736" w:rsidP="00A6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176846"/>
      <w:docPartObj>
        <w:docPartGallery w:val="Page Numbers (Bottom of Page)"/>
        <w:docPartUnique/>
      </w:docPartObj>
    </w:sdtPr>
    <w:sdtContent>
      <w:p w:rsidR="00A64736" w:rsidRDefault="00A64736">
        <w:pPr>
          <w:pStyle w:val="Pieddepage"/>
          <w:jc w:val="right"/>
        </w:pPr>
        <w:r>
          <w:fldChar w:fldCharType="begin"/>
        </w:r>
        <w:r>
          <w:instrText>PAGE   \* MERGEFORMAT</w:instrText>
        </w:r>
        <w:r>
          <w:fldChar w:fldCharType="separate"/>
        </w:r>
        <w:r>
          <w:rPr>
            <w:noProof/>
          </w:rPr>
          <w:t>1</w:t>
        </w:r>
        <w:r>
          <w:fldChar w:fldCharType="end"/>
        </w:r>
      </w:p>
    </w:sdtContent>
  </w:sdt>
  <w:p w:rsidR="00A64736" w:rsidRDefault="00A647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36" w:rsidRDefault="00A64736" w:rsidP="00A64736">
      <w:pPr>
        <w:spacing w:after="0" w:line="240" w:lineRule="auto"/>
      </w:pPr>
      <w:r>
        <w:separator/>
      </w:r>
    </w:p>
  </w:footnote>
  <w:footnote w:type="continuationSeparator" w:id="0">
    <w:p w:rsidR="00A64736" w:rsidRDefault="00A64736" w:rsidP="00A64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736" w:rsidRPr="00A64736" w:rsidRDefault="00A64736" w:rsidP="00A64736">
    <w:pPr>
      <w:rPr>
        <w:rFonts w:ascii="Trebuchet MS" w:hAnsi="Trebuchet MS"/>
        <w:b/>
        <w:sz w:val="24"/>
        <w:szCs w:val="24"/>
      </w:rPr>
    </w:pPr>
    <w:r w:rsidRPr="00A64736">
      <w:rPr>
        <w:rFonts w:ascii="Trebuchet MS" w:hAnsi="Trebuchet MS"/>
        <w:b/>
        <w:sz w:val="24"/>
        <w:szCs w:val="24"/>
      </w:rPr>
      <w:t>Association Santé Mentale et Communautés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731"/>
    <w:multiLevelType w:val="multilevel"/>
    <w:tmpl w:val="8DE2BE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36"/>
    <w:rsid w:val="005B3C90"/>
    <w:rsid w:val="00A64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4736"/>
    <w:pPr>
      <w:spacing w:after="0" w:line="240" w:lineRule="auto"/>
      <w:ind w:left="720"/>
      <w:contextualSpacing/>
    </w:pPr>
    <w:rPr>
      <w:rFonts w:ascii="Palatino" w:eastAsia="Times New Roman" w:hAnsi="Palatino" w:cs="Times New Roman"/>
      <w:sz w:val="32"/>
      <w:szCs w:val="24"/>
      <w:lang w:eastAsia="fr-FR"/>
    </w:rPr>
  </w:style>
  <w:style w:type="paragraph" w:customStyle="1" w:styleId="Dfaut">
    <w:name w:val="Défaut"/>
    <w:rsid w:val="00A64736"/>
    <w:pPr>
      <w:widowControl w:val="0"/>
      <w:autoSpaceDE w:val="0"/>
      <w:autoSpaceDN w:val="0"/>
      <w:adjustRightInd w:val="0"/>
      <w:spacing w:after="0" w:line="240" w:lineRule="atLeast"/>
    </w:pPr>
    <w:rPr>
      <w:rFonts w:ascii="Helvetica" w:eastAsia="Times New Roman" w:hAnsi="Helvetica" w:cs="Times New Roman"/>
      <w:noProof/>
      <w:color w:val="000000"/>
      <w:sz w:val="24"/>
      <w:szCs w:val="20"/>
      <w:lang w:eastAsia="fr-FR"/>
    </w:rPr>
  </w:style>
  <w:style w:type="paragraph" w:styleId="NormalWeb">
    <w:name w:val="Normal (Web)"/>
    <w:basedOn w:val="Normal"/>
    <w:uiPriority w:val="99"/>
    <w:unhideWhenUsed/>
    <w:rsid w:val="00A64736"/>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A64736"/>
    <w:pPr>
      <w:tabs>
        <w:tab w:val="center" w:pos="4536"/>
        <w:tab w:val="right" w:pos="9072"/>
      </w:tabs>
      <w:spacing w:after="0" w:line="240" w:lineRule="auto"/>
    </w:pPr>
  </w:style>
  <w:style w:type="character" w:customStyle="1" w:styleId="En-tteCar">
    <w:name w:val="En-tête Car"/>
    <w:basedOn w:val="Policepardfaut"/>
    <w:link w:val="En-tte"/>
    <w:uiPriority w:val="99"/>
    <w:rsid w:val="00A64736"/>
  </w:style>
  <w:style w:type="paragraph" w:styleId="Pieddepage">
    <w:name w:val="footer"/>
    <w:basedOn w:val="Normal"/>
    <w:link w:val="PieddepageCar"/>
    <w:uiPriority w:val="99"/>
    <w:unhideWhenUsed/>
    <w:rsid w:val="00A647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4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4736"/>
    <w:pPr>
      <w:spacing w:after="0" w:line="240" w:lineRule="auto"/>
      <w:ind w:left="720"/>
      <w:contextualSpacing/>
    </w:pPr>
    <w:rPr>
      <w:rFonts w:ascii="Palatino" w:eastAsia="Times New Roman" w:hAnsi="Palatino" w:cs="Times New Roman"/>
      <w:sz w:val="32"/>
      <w:szCs w:val="24"/>
      <w:lang w:eastAsia="fr-FR"/>
    </w:rPr>
  </w:style>
  <w:style w:type="paragraph" w:customStyle="1" w:styleId="Dfaut">
    <w:name w:val="Défaut"/>
    <w:rsid w:val="00A64736"/>
    <w:pPr>
      <w:widowControl w:val="0"/>
      <w:autoSpaceDE w:val="0"/>
      <w:autoSpaceDN w:val="0"/>
      <w:adjustRightInd w:val="0"/>
      <w:spacing w:after="0" w:line="240" w:lineRule="atLeast"/>
    </w:pPr>
    <w:rPr>
      <w:rFonts w:ascii="Helvetica" w:eastAsia="Times New Roman" w:hAnsi="Helvetica" w:cs="Times New Roman"/>
      <w:noProof/>
      <w:color w:val="000000"/>
      <w:sz w:val="24"/>
      <w:szCs w:val="20"/>
      <w:lang w:eastAsia="fr-FR"/>
    </w:rPr>
  </w:style>
  <w:style w:type="paragraph" w:styleId="NormalWeb">
    <w:name w:val="Normal (Web)"/>
    <w:basedOn w:val="Normal"/>
    <w:uiPriority w:val="99"/>
    <w:unhideWhenUsed/>
    <w:rsid w:val="00A64736"/>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A64736"/>
    <w:pPr>
      <w:tabs>
        <w:tab w:val="center" w:pos="4536"/>
        <w:tab w:val="right" w:pos="9072"/>
      </w:tabs>
      <w:spacing w:after="0" w:line="240" w:lineRule="auto"/>
    </w:pPr>
  </w:style>
  <w:style w:type="character" w:customStyle="1" w:styleId="En-tteCar">
    <w:name w:val="En-tête Car"/>
    <w:basedOn w:val="Policepardfaut"/>
    <w:link w:val="En-tte"/>
    <w:uiPriority w:val="99"/>
    <w:rsid w:val="00A64736"/>
  </w:style>
  <w:style w:type="paragraph" w:styleId="Pieddepage">
    <w:name w:val="footer"/>
    <w:basedOn w:val="Normal"/>
    <w:link w:val="PieddepageCar"/>
    <w:uiPriority w:val="99"/>
    <w:unhideWhenUsed/>
    <w:rsid w:val="00A647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1416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SAIEB</dc:creator>
  <cp:lastModifiedBy>Yves SAIEB</cp:lastModifiedBy>
  <cp:revision>1</cp:revision>
  <dcterms:created xsi:type="dcterms:W3CDTF">2014-05-02T12:55:00Z</dcterms:created>
  <dcterms:modified xsi:type="dcterms:W3CDTF">2014-05-02T12:58:00Z</dcterms:modified>
</cp:coreProperties>
</file>